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2C" w:rsidRPr="002B77E4" w:rsidRDefault="005A722C" w:rsidP="005A722C">
      <w:pPr>
        <w:widowControl w:val="0"/>
        <w:shd w:val="clear" w:color="auto" w:fill="FFFFFF"/>
        <w:jc w:val="center"/>
        <w:rPr>
          <w:rFonts w:ascii="SchoolBookCTT" w:hAnsi="SchoolBookCTT"/>
          <w:b/>
          <w:bCs/>
          <w:caps/>
          <w:color w:val="000000"/>
          <w:sz w:val="32"/>
          <w:szCs w:val="32"/>
        </w:rPr>
      </w:pPr>
      <w:r w:rsidRPr="002B77E4">
        <w:rPr>
          <w:rFonts w:ascii="SchoolBookCTT" w:hAnsi="SchoolBookCTT"/>
          <w:b/>
          <w:bCs/>
          <w:caps/>
          <w:color w:val="000000"/>
          <w:sz w:val="32"/>
          <w:szCs w:val="32"/>
        </w:rPr>
        <w:t>перелік практичних навичок</w:t>
      </w:r>
    </w:p>
    <w:p w:rsidR="005A722C" w:rsidRPr="002B77E4" w:rsidRDefault="005A722C" w:rsidP="005A722C">
      <w:pPr>
        <w:widowControl w:val="0"/>
        <w:shd w:val="clear" w:color="auto" w:fill="FFFFFF"/>
        <w:jc w:val="center"/>
        <w:rPr>
          <w:rFonts w:ascii="SchoolBookCTT" w:hAnsi="SchoolBookCTT"/>
          <w:b/>
          <w:bCs/>
          <w:caps/>
          <w:color w:val="000000"/>
        </w:rPr>
      </w:pP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aps/>
          <w:color w:val="000000"/>
        </w:rPr>
        <w:t>С</w:t>
      </w:r>
      <w:r w:rsidRPr="002B77E4">
        <w:rPr>
          <w:rFonts w:ascii="SchoolBookCTT" w:hAnsi="SchoolBookCTT"/>
          <w:color w:val="000000"/>
        </w:rPr>
        <w:t>класти орієнтовну поведінку медичного працівника до пацієнтів із розладом свідомості.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рольову гру (за можливістю).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Розв’язати ситуаційні вправи та дати оцінку поведінки медичного працівника по відношенню до пацієнта.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>
        <w:rPr>
          <w:rFonts w:ascii="SchoolBookCTT" w:hAnsi="SchoolBookCTT"/>
          <w:color w:val="000000"/>
        </w:rPr>
        <w:t>Підібрати необхідну анкету</w:t>
      </w:r>
      <w:r w:rsidRPr="002B77E4">
        <w:rPr>
          <w:rFonts w:ascii="SchoolBookCTT" w:hAnsi="SchoolBookCTT"/>
          <w:color w:val="000000"/>
        </w:rPr>
        <w:t xml:space="preserve"> і за її допомогою провести дослідження особистостей.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Визначити тип темпераменту за допомогою опитувальника Айзенка.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Дати характеристику щодо складу свого характеру згідно з анкетуванням.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Визначити зв’язок своїх моральних якостей з Етичним кодексом.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Виявити причини негативних рис свого характеру та запропонувати можливі варіанти для позбавлення від них.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Заповнити </w:t>
      </w:r>
      <w:proofErr w:type="spellStart"/>
      <w:r w:rsidRPr="002B77E4">
        <w:rPr>
          <w:rFonts w:ascii="SchoolBookCTT" w:hAnsi="SchoolBookCTT"/>
          <w:color w:val="000000"/>
        </w:rPr>
        <w:t>психограму</w:t>
      </w:r>
      <w:proofErr w:type="spellEnd"/>
      <w:r w:rsidRPr="002B77E4">
        <w:rPr>
          <w:rFonts w:ascii="SchoolBookCTT" w:hAnsi="SchoolBookCTT"/>
          <w:color w:val="000000"/>
        </w:rPr>
        <w:t xml:space="preserve"> медичного працівника згідно зі своїми психічними якостями.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Розв’яз</w:t>
      </w:r>
      <w:r>
        <w:rPr>
          <w:rFonts w:ascii="SchoolBookCTT" w:hAnsi="SchoolBookCTT"/>
          <w:color w:val="000000"/>
        </w:rPr>
        <w:t>ув</w:t>
      </w:r>
      <w:r w:rsidRPr="002B77E4">
        <w:rPr>
          <w:rFonts w:ascii="SchoolBookCTT" w:hAnsi="SchoolBookCTT"/>
          <w:color w:val="000000"/>
        </w:rPr>
        <w:t>ати ситуаційні вправи за темою.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Проаналізувати причини появи психопатичних та </w:t>
      </w:r>
      <w:proofErr w:type="spellStart"/>
      <w:r w:rsidRPr="002B77E4">
        <w:rPr>
          <w:rFonts w:ascii="SchoolBookCTT" w:hAnsi="SchoolBookCTT"/>
          <w:color w:val="000000"/>
        </w:rPr>
        <w:t>акцентуйованих</w:t>
      </w:r>
      <w:proofErr w:type="spellEnd"/>
      <w:r w:rsidRPr="002B77E4">
        <w:rPr>
          <w:rFonts w:ascii="SchoolBookCTT" w:hAnsi="SchoolBookCTT"/>
          <w:color w:val="000000"/>
        </w:rPr>
        <w:t xml:space="preserve"> особистостей.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Скласти рекомендації дружніх стосунків між собою.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Дати поради щодо усунення безтактності в поведінці.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Вміти розв’язати ситуаційні вправи.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Навести приклади </w:t>
      </w:r>
      <w:r>
        <w:rPr>
          <w:rFonts w:ascii="SchoolBookCTT" w:hAnsi="SchoolBookCTT"/>
          <w:color w:val="000000"/>
        </w:rPr>
        <w:t>взаємовідносин</w:t>
      </w:r>
      <w:r w:rsidRPr="002B77E4">
        <w:rPr>
          <w:rFonts w:ascii="SchoolBookCTT" w:hAnsi="SchoolBookCTT"/>
          <w:color w:val="000000"/>
        </w:rPr>
        <w:t xml:space="preserve"> медичних працівників між собою та дати їм повну оцінку.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рольову гру “Конфлікти в колективі” та визначити шляхи усунення конфлікту.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Проаналізувати причини, наслідки та можливі варіанти поведінки членів колективу.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Відпрацювати навички діалогічної мови та формул </w:t>
      </w:r>
      <w:proofErr w:type="spellStart"/>
      <w:r w:rsidRPr="002B77E4">
        <w:rPr>
          <w:rFonts w:ascii="SchoolBookCTT" w:hAnsi="SchoolBookCTT"/>
          <w:color w:val="000000"/>
        </w:rPr>
        <w:t>мовного</w:t>
      </w:r>
      <w:proofErr w:type="spellEnd"/>
      <w:r w:rsidRPr="002B77E4">
        <w:rPr>
          <w:rFonts w:ascii="SchoolBookCTT" w:hAnsi="SchoolBookCTT"/>
          <w:color w:val="000000"/>
        </w:rPr>
        <w:t xml:space="preserve"> етикету.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дослідження за допомогою тестів, завдань, фігур, кросвордів:</w:t>
      </w:r>
    </w:p>
    <w:p w:rsidR="005A722C" w:rsidRPr="002B77E4" w:rsidRDefault="005A722C" w:rsidP="005A722C">
      <w:pPr>
        <w:widowControl w:val="0"/>
        <w:numPr>
          <w:ilvl w:val="1"/>
          <w:numId w:val="1"/>
        </w:numPr>
        <w:shd w:val="clear" w:color="auto" w:fill="FFFFFF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пам’яті (оперативної, смислової, асоціативної);</w:t>
      </w:r>
    </w:p>
    <w:p w:rsidR="005A722C" w:rsidRDefault="005A722C" w:rsidP="005A722C">
      <w:pPr>
        <w:widowControl w:val="0"/>
        <w:numPr>
          <w:ilvl w:val="1"/>
          <w:numId w:val="1"/>
        </w:numPr>
        <w:shd w:val="clear" w:color="auto" w:fill="FFFFFF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процесів мислення, інтелекту, уваги;</w:t>
      </w:r>
    </w:p>
    <w:p w:rsidR="005A722C" w:rsidRPr="002B77E4" w:rsidRDefault="005A722C" w:rsidP="005A722C">
      <w:pPr>
        <w:widowControl w:val="0"/>
        <w:numPr>
          <w:ilvl w:val="1"/>
          <w:numId w:val="1"/>
        </w:numPr>
        <w:shd w:val="clear" w:color="auto" w:fill="FFFFFF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сприймання.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За допомогою таблиці </w:t>
      </w:r>
      <w:proofErr w:type="spellStart"/>
      <w:r w:rsidRPr="002B77E4">
        <w:rPr>
          <w:rFonts w:ascii="SchoolBookCTT" w:hAnsi="SchoolBookCTT"/>
          <w:color w:val="000000"/>
        </w:rPr>
        <w:t>Шульте</w:t>
      </w:r>
      <w:proofErr w:type="spellEnd"/>
      <w:r w:rsidRPr="002B77E4">
        <w:rPr>
          <w:rFonts w:ascii="SchoolBookCTT" w:hAnsi="SchoolBookCTT"/>
          <w:color w:val="000000"/>
        </w:rPr>
        <w:t xml:space="preserve"> визначити швидкість переключення уваги.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Зробити аналітичний висновок проведеного дослідження.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Розв’язати ситуаційні вправи на розлад </w:t>
      </w:r>
      <w:proofErr w:type="spellStart"/>
      <w:r w:rsidRPr="002B77E4">
        <w:rPr>
          <w:rFonts w:ascii="SchoolBookCTT" w:hAnsi="SchoolBookCTT"/>
          <w:color w:val="000000"/>
        </w:rPr>
        <w:t>рухово</w:t>
      </w:r>
      <w:proofErr w:type="spellEnd"/>
      <w:r w:rsidRPr="002B77E4">
        <w:rPr>
          <w:rFonts w:ascii="SchoolBookCTT" w:hAnsi="SchoolBookCTT"/>
          <w:color w:val="000000"/>
        </w:rPr>
        <w:t>-вольового процесу або емоційного стану. Діагностувати емоційний стан особи (себе та інших), дати пораду, як керувати своїм емоційний станом.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Скласти тези розмови з пацієнтом у стадії депресії чи апатії для рольової гри “Телефон довіри”.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Визначити тип хворого за допомогою тесту “ЛОБИ” В.М. </w:t>
      </w:r>
      <w:proofErr w:type="spellStart"/>
      <w:r w:rsidRPr="002B77E4">
        <w:rPr>
          <w:rFonts w:ascii="SchoolBookCTT" w:hAnsi="SchoolBookCTT"/>
          <w:color w:val="000000"/>
        </w:rPr>
        <w:t>Бєхтєрєва</w:t>
      </w:r>
      <w:proofErr w:type="spellEnd"/>
      <w:r w:rsidRPr="002B77E4">
        <w:rPr>
          <w:rFonts w:ascii="SchoolBookCTT" w:hAnsi="SchoolBookCTT"/>
          <w:color w:val="000000"/>
        </w:rPr>
        <w:t xml:space="preserve"> або орієнтовних тестів.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Розпізнати тип хворого за поведінковою реакцією (за завданням викладача).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Скласти план поведінки медичного працівника з пацієнтами різних типів клінічної класифікації.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рольову гру “Спілкування”.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Взяти інтерв’ю один у одного.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Розв’я</w:t>
      </w:r>
      <w:r>
        <w:rPr>
          <w:rFonts w:ascii="SchoolBookCTT" w:hAnsi="SchoolBookCTT"/>
          <w:color w:val="000000"/>
        </w:rPr>
        <w:t>зати ситуаційні вправи за темою</w:t>
      </w:r>
      <w:r w:rsidRPr="002B77E4">
        <w:rPr>
          <w:rFonts w:ascii="SchoolBookCTT" w:hAnsi="SchoolBookCTT"/>
          <w:color w:val="000000"/>
        </w:rPr>
        <w:t xml:space="preserve"> та скласти план поведінки з пацієнтом.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Скласти план поведінки пацієнта під час магнітних збурень залежно від його віку.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Скласти схему орієнтовної поведінки медичного працівника по відношенню до пацієнтів із різними захворюваннями.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рольову гру “Пацієнт”.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</w:t>
      </w:r>
      <w:r>
        <w:rPr>
          <w:rFonts w:ascii="SchoolBookCTT" w:hAnsi="SchoolBookCTT"/>
          <w:color w:val="000000"/>
        </w:rPr>
        <w:t>и план-повідомлення про нещастя</w:t>
      </w:r>
      <w:r w:rsidRPr="002B77E4">
        <w:rPr>
          <w:rFonts w:ascii="SchoolBookCTT" w:hAnsi="SchoolBookCTT"/>
          <w:color w:val="000000"/>
        </w:rPr>
        <w:t>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Провести тестування за темою “Чи готові ви </w:t>
      </w:r>
      <w:r>
        <w:rPr>
          <w:rFonts w:ascii="SchoolBookCTT" w:hAnsi="SchoolBookCTT"/>
          <w:color w:val="000000"/>
        </w:rPr>
        <w:t>до НС (надзвичайної ситуації)?”</w:t>
      </w:r>
      <w:r w:rsidRPr="002B77E4">
        <w:rPr>
          <w:rFonts w:ascii="SchoolBookCTT" w:hAnsi="SchoolBookCTT"/>
          <w:color w:val="000000"/>
        </w:rPr>
        <w:t>. Зробити висновки.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Скласти план-пораду потерпілим або тим, хто переживає горе.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Надати психологічну підтримку родичам померлої людини або потерпілим при НС.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рольову гру.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lastRenderedPageBreak/>
        <w:t>Визначити рівень особистісної та ситуаційної тривожності за допомогою опитувальника Спілберга.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Провести сеанс аутотренінгу при безсонні з групою студентів.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 xml:space="preserve">Скласти формулу </w:t>
      </w:r>
      <w:r>
        <w:rPr>
          <w:rFonts w:ascii="SchoolBookCTT" w:hAnsi="SchoolBookCTT"/>
          <w:color w:val="000000"/>
        </w:rPr>
        <w:t>розслаблення або самонавіювання</w:t>
      </w:r>
      <w:r w:rsidRPr="002B77E4">
        <w:rPr>
          <w:rFonts w:ascii="SchoolBookCTT" w:hAnsi="SchoolBookCTT"/>
          <w:color w:val="000000"/>
        </w:rPr>
        <w:t>.</w:t>
      </w:r>
    </w:p>
    <w:p w:rsidR="005A722C" w:rsidRPr="002B77E4" w:rsidRDefault="005A722C" w:rsidP="005A722C">
      <w:pPr>
        <w:widowControl w:val="0"/>
        <w:numPr>
          <w:ilvl w:val="0"/>
          <w:numId w:val="2"/>
        </w:numPr>
        <w:shd w:val="clear" w:color="auto" w:fill="FFFFFF"/>
        <w:ind w:hanging="442"/>
        <w:jc w:val="both"/>
        <w:rPr>
          <w:rFonts w:ascii="SchoolBookCTT" w:hAnsi="SchoolBookCTT"/>
          <w:caps/>
          <w:color w:val="000000"/>
        </w:rPr>
      </w:pPr>
      <w:r w:rsidRPr="002B77E4">
        <w:rPr>
          <w:rFonts w:ascii="SchoolBookCTT" w:hAnsi="SchoolBookCTT"/>
          <w:color w:val="000000"/>
        </w:rPr>
        <w:t>Розв’язати ситуаційні вправи та розробити власний план психотерапевтичного впливу на пацієнтів.</w:t>
      </w:r>
    </w:p>
    <w:p w:rsidR="005A722C" w:rsidRPr="002B77E4" w:rsidRDefault="005A722C" w:rsidP="004158E3">
      <w:pPr>
        <w:widowControl w:val="0"/>
        <w:shd w:val="clear" w:color="auto" w:fill="FFFFFF"/>
        <w:jc w:val="center"/>
        <w:rPr>
          <w:rFonts w:ascii="SchoolBookCTT" w:hAnsi="SchoolBookCTT"/>
        </w:rPr>
      </w:pPr>
      <w:r w:rsidRPr="002B77E4">
        <w:rPr>
          <w:rFonts w:ascii="SchoolBookCTT" w:hAnsi="SchoolBookCTT"/>
          <w:b/>
          <w:bCs/>
          <w:color w:val="000000"/>
        </w:rPr>
        <w:br w:type="page"/>
      </w:r>
      <w:bookmarkStart w:id="0" w:name="_GoBack"/>
      <w:bookmarkEnd w:id="0"/>
    </w:p>
    <w:p w:rsidR="00E8599B" w:rsidRDefault="00E8599B" w:rsidP="005A722C">
      <w:pPr>
        <w:pStyle w:val="a3"/>
      </w:pPr>
    </w:p>
    <w:sectPr w:rsidR="00E85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2A3"/>
    <w:multiLevelType w:val="hybridMultilevel"/>
    <w:tmpl w:val="5B565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B33C6"/>
    <w:multiLevelType w:val="hybridMultilevel"/>
    <w:tmpl w:val="F7D2D798"/>
    <w:lvl w:ilvl="0" w:tplc="1E1A5604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31F84"/>
    <w:multiLevelType w:val="hybridMultilevel"/>
    <w:tmpl w:val="0A7CA0DA"/>
    <w:lvl w:ilvl="0" w:tplc="732862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9EF6F5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0"/>
        <w:szCs w:val="20"/>
      </w:rPr>
    </w:lvl>
    <w:lvl w:ilvl="2" w:tplc="73286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03"/>
    <w:rsid w:val="001F4E03"/>
    <w:rsid w:val="004158E3"/>
    <w:rsid w:val="005A722C"/>
    <w:rsid w:val="00E8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1961</Words>
  <Characters>1118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2016-10-04T10:29:00Z</dcterms:created>
  <dcterms:modified xsi:type="dcterms:W3CDTF">2016-10-04T10:30:00Z</dcterms:modified>
</cp:coreProperties>
</file>