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73" w:rsidRPr="00E37C23" w:rsidRDefault="00A93A73" w:rsidP="00A93A73">
      <w:pPr>
        <w:shd w:val="clear" w:color="auto" w:fill="FFFFFF"/>
        <w:tabs>
          <w:tab w:val="left" w:pos="569"/>
        </w:tabs>
        <w:suppressAutoHyphens/>
        <w:jc w:val="center"/>
        <w:rPr>
          <w:rFonts w:ascii="SchoolBookCTT" w:hAnsi="SchoolBookCTT"/>
          <w:b/>
          <w:sz w:val="32"/>
          <w:szCs w:val="28"/>
          <w:lang w:val="uk-UA"/>
        </w:rPr>
      </w:pPr>
      <w:r w:rsidRPr="00E37C23">
        <w:rPr>
          <w:rFonts w:ascii="SchoolBookCTT" w:hAnsi="SchoolBookCTT"/>
          <w:b/>
          <w:sz w:val="32"/>
          <w:szCs w:val="28"/>
          <w:lang w:val="uk-UA"/>
        </w:rPr>
        <w:t>ПЕРЕЛІК ПРАКТИЧНИХ НАВИЧОК</w:t>
      </w:r>
    </w:p>
    <w:p w:rsidR="00A93A73" w:rsidRPr="00E37C23" w:rsidRDefault="00A93A73" w:rsidP="00A93A73">
      <w:pPr>
        <w:shd w:val="clear" w:color="auto" w:fill="FFFFFF"/>
        <w:suppressAutoHyphens/>
        <w:rPr>
          <w:rFonts w:ascii="SchoolBookCTT" w:hAnsi="SchoolBookCTT"/>
          <w:sz w:val="28"/>
          <w:szCs w:val="28"/>
          <w:lang w:val="uk-UA"/>
        </w:rPr>
      </w:pP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21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Узяття матеріалу для досліджень.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0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Узяття крові на виявлення гемопаразитів.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0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Виготовлення мазків і препаратів товстої краплі крові.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7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 xml:space="preserve">Виготовлення </w:t>
      </w:r>
      <w:proofErr w:type="spellStart"/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нативного</w:t>
      </w:r>
      <w:proofErr w:type="spellEnd"/>
      <w:r w:rsidRPr="00E37C23">
        <w:rPr>
          <w:rFonts w:ascii="SchoolBookCTT" w:hAnsi="SchoolBookCTT"/>
          <w:spacing w:val="-6"/>
          <w:sz w:val="24"/>
          <w:szCs w:val="24"/>
          <w:lang w:val="uk-UA"/>
        </w:rPr>
        <w:t xml:space="preserve"> препарату з інвазійного матеріалу.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jc w:val="both"/>
        <w:rPr>
          <w:rFonts w:ascii="SchoolBookCTT" w:hAnsi="SchoolBookCTT"/>
          <w:spacing w:val="-6"/>
          <w:sz w:val="24"/>
          <w:szCs w:val="24"/>
          <w:lang w:val="uk-UA"/>
        </w:rPr>
      </w:pPr>
      <w:r w:rsidRPr="00E37C23">
        <w:rPr>
          <w:rFonts w:ascii="SchoolBookCTT" w:hAnsi="SchoolBookCTT"/>
          <w:spacing w:val="-7"/>
          <w:sz w:val="24"/>
          <w:szCs w:val="24"/>
          <w:lang w:val="uk-UA"/>
        </w:rPr>
        <w:t xml:space="preserve">Визначення видової належності та морфології гельмінтів на </w:t>
      </w:r>
      <w:proofErr w:type="spellStart"/>
      <w:r w:rsidRPr="00E37C23">
        <w:rPr>
          <w:rFonts w:ascii="SchoolBookCTT" w:hAnsi="SchoolBookCTT"/>
          <w:spacing w:val="-7"/>
          <w:sz w:val="24"/>
          <w:szCs w:val="24"/>
          <w:lang w:val="uk-UA"/>
        </w:rPr>
        <w:t>макро</w:t>
      </w:r>
      <w:proofErr w:type="spellEnd"/>
      <w:r w:rsidRPr="00E37C23">
        <w:rPr>
          <w:rFonts w:ascii="SchoolBookCTT" w:hAnsi="SchoolBookCTT"/>
          <w:spacing w:val="-7"/>
          <w:sz w:val="24"/>
          <w:szCs w:val="24"/>
          <w:lang w:val="uk-UA"/>
        </w:rPr>
        <w:t xml:space="preserve">- та </w:t>
      </w:r>
      <w:r w:rsidRPr="00E37C23">
        <w:rPr>
          <w:rFonts w:ascii="SchoolBookCTT" w:hAnsi="SchoolBookCTT"/>
          <w:sz w:val="24"/>
          <w:szCs w:val="24"/>
          <w:lang w:val="uk-UA"/>
        </w:rPr>
        <w:t>мікропрепаратах.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jc w:val="both"/>
        <w:rPr>
          <w:rFonts w:ascii="SchoolBookCTT" w:hAnsi="SchoolBookCTT"/>
          <w:spacing w:val="-10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 xml:space="preserve">Диференціювання вегетативних форм, цист різних видів патогенних </w:t>
      </w:r>
      <w:r w:rsidRPr="00E37C23">
        <w:rPr>
          <w:rFonts w:ascii="SchoolBookCTT" w:hAnsi="SchoolBookCTT"/>
          <w:sz w:val="24"/>
          <w:szCs w:val="24"/>
          <w:lang w:val="uk-UA"/>
        </w:rPr>
        <w:t>найпростіших.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jc w:val="both"/>
        <w:rPr>
          <w:rFonts w:ascii="SchoolBookCTT" w:hAnsi="SchoolBookCTT"/>
          <w:spacing w:val="-10"/>
          <w:sz w:val="24"/>
          <w:szCs w:val="24"/>
          <w:lang w:val="uk-UA"/>
        </w:rPr>
      </w:pPr>
      <w:r w:rsidRPr="00E37C23">
        <w:rPr>
          <w:rFonts w:ascii="SchoolBookCTT" w:hAnsi="SchoolBookCTT"/>
          <w:spacing w:val="-3"/>
          <w:sz w:val="24"/>
          <w:szCs w:val="24"/>
          <w:lang w:val="uk-UA"/>
        </w:rPr>
        <w:t xml:space="preserve">Дослідження інвазійного матеріалу на виявлення гельмінтів методами </w:t>
      </w:r>
      <w:proofErr w:type="spellStart"/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нативного</w:t>
      </w:r>
      <w:proofErr w:type="spellEnd"/>
      <w:r w:rsidRPr="00E37C23">
        <w:rPr>
          <w:rFonts w:ascii="SchoolBookCTT" w:hAnsi="SchoolBookCTT"/>
          <w:spacing w:val="-6"/>
          <w:sz w:val="24"/>
          <w:szCs w:val="24"/>
          <w:lang w:val="uk-UA"/>
        </w:rPr>
        <w:t xml:space="preserve"> мазка, товстого мазка за методом </w:t>
      </w:r>
      <w:proofErr w:type="spellStart"/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Като</w:t>
      </w:r>
      <w:proofErr w:type="spellEnd"/>
      <w:r w:rsidRPr="00E37C23">
        <w:rPr>
          <w:rFonts w:ascii="SchoolBookCTT" w:hAnsi="SchoolBookCTT"/>
          <w:spacing w:val="-6"/>
          <w:sz w:val="24"/>
          <w:szCs w:val="24"/>
          <w:lang w:val="uk-UA"/>
        </w:rPr>
        <w:t>, методами збагачення.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3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Виготовлення розчинів для методів збагачення.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jc w:val="both"/>
        <w:rPr>
          <w:rFonts w:ascii="SchoolBookCTT" w:hAnsi="SchoolBookCTT"/>
          <w:spacing w:val="-6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 xml:space="preserve">Виявлення личинок гельмінтів за методами </w:t>
      </w:r>
      <w:proofErr w:type="spellStart"/>
      <w:r w:rsidRPr="00E37C23">
        <w:rPr>
          <w:rFonts w:ascii="SchoolBookCTT" w:hAnsi="SchoolBookCTT"/>
          <w:spacing w:val="-5"/>
          <w:sz w:val="24"/>
          <w:szCs w:val="24"/>
          <w:lang w:val="uk-UA"/>
        </w:rPr>
        <w:t>Бермана</w:t>
      </w:r>
      <w:proofErr w:type="spellEnd"/>
      <w:r w:rsidRPr="00E37C23">
        <w:rPr>
          <w:rFonts w:ascii="SchoolBookCTT" w:hAnsi="SchoolBookCTT"/>
          <w:spacing w:val="-5"/>
          <w:sz w:val="24"/>
          <w:szCs w:val="24"/>
          <w:lang w:val="uk-UA"/>
        </w:rPr>
        <w:t xml:space="preserve">, </w:t>
      </w:r>
      <w:proofErr w:type="spellStart"/>
      <w:r w:rsidRPr="00E37C23">
        <w:rPr>
          <w:rFonts w:ascii="SchoolBookCTT" w:hAnsi="SchoolBookCTT"/>
          <w:spacing w:val="-5"/>
          <w:sz w:val="24"/>
          <w:szCs w:val="24"/>
          <w:lang w:val="uk-UA"/>
        </w:rPr>
        <w:t>Юсупова</w:t>
      </w:r>
      <w:proofErr w:type="spellEnd"/>
      <w:r w:rsidRPr="00E37C23">
        <w:rPr>
          <w:rFonts w:ascii="SchoolBookCTT" w:hAnsi="SchoolBookCTT"/>
          <w:spacing w:val="-5"/>
          <w:sz w:val="24"/>
          <w:szCs w:val="24"/>
          <w:lang w:val="uk-UA"/>
        </w:rPr>
        <w:t xml:space="preserve">, </w:t>
      </w:r>
      <w:r w:rsidRPr="00E37C23">
        <w:rPr>
          <w:rFonts w:ascii="SchoolBookCTT" w:hAnsi="SchoolBookCTT"/>
          <w:sz w:val="24"/>
          <w:szCs w:val="24"/>
          <w:lang w:val="uk-UA"/>
        </w:rPr>
        <w:t>Прохорова.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3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Дослідження препаратів на виявлення трихінел.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5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Узяття матеріалу на виявлення гостриків.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5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Виявлення збудників корости і демодекозу.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jc w:val="both"/>
        <w:rPr>
          <w:rFonts w:ascii="SchoolBookCTT" w:hAnsi="SchoolBookCTT"/>
          <w:spacing w:val="-11"/>
          <w:sz w:val="24"/>
          <w:szCs w:val="24"/>
          <w:lang w:val="uk-UA"/>
        </w:rPr>
      </w:pPr>
      <w:r w:rsidRPr="00E37C23">
        <w:rPr>
          <w:rFonts w:ascii="SchoolBookCTT" w:hAnsi="SchoolBookCTT"/>
          <w:spacing w:val="-2"/>
          <w:sz w:val="24"/>
          <w:szCs w:val="24"/>
          <w:lang w:val="uk-UA"/>
        </w:rPr>
        <w:t xml:space="preserve">Визначення видової належності гельмінтів (статевозрілих форм, </w:t>
      </w:r>
      <w:r w:rsidRPr="00E37C23">
        <w:rPr>
          <w:rFonts w:ascii="SchoolBookCTT" w:hAnsi="SchoolBookCTT"/>
          <w:sz w:val="24"/>
          <w:szCs w:val="24"/>
          <w:lang w:val="uk-UA"/>
        </w:rPr>
        <w:t>личинок, яєць).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5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Використання засобів відлову та фіксації членистоногих.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jc w:val="both"/>
        <w:rPr>
          <w:rFonts w:ascii="SchoolBookCTT" w:hAnsi="SchoolBookCTT"/>
          <w:spacing w:val="-17"/>
          <w:sz w:val="24"/>
          <w:szCs w:val="24"/>
          <w:lang w:val="uk-UA"/>
        </w:rPr>
      </w:pPr>
      <w:r w:rsidRPr="00E37C23">
        <w:rPr>
          <w:rFonts w:ascii="SchoolBookCTT" w:hAnsi="SchoolBookCTT"/>
          <w:spacing w:val="-5"/>
          <w:sz w:val="24"/>
          <w:szCs w:val="24"/>
          <w:lang w:val="uk-UA"/>
        </w:rPr>
        <w:t xml:space="preserve">Оволодіння правилами техніки безпеки, охорони праці в галузі, професійної безпеки при роботі </w:t>
      </w:r>
      <w:r w:rsidRPr="00E37C23">
        <w:rPr>
          <w:rFonts w:ascii="SchoolBookCTT" w:hAnsi="SchoolBookCTT"/>
          <w:sz w:val="24"/>
          <w:szCs w:val="24"/>
          <w:lang w:val="uk-UA"/>
        </w:rPr>
        <w:t>з інфікованим матеріалом.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jc w:val="both"/>
        <w:rPr>
          <w:rFonts w:ascii="SchoolBookCTT" w:hAnsi="SchoolBookCTT"/>
          <w:spacing w:val="-13"/>
          <w:sz w:val="24"/>
          <w:szCs w:val="24"/>
          <w:lang w:val="uk-UA"/>
        </w:rPr>
      </w:pPr>
      <w:r w:rsidRPr="00E37C23">
        <w:rPr>
          <w:rFonts w:ascii="SchoolBookCTT" w:hAnsi="SchoolBookCTT"/>
          <w:spacing w:val="-4"/>
          <w:sz w:val="24"/>
          <w:szCs w:val="24"/>
          <w:lang w:val="uk-UA"/>
        </w:rPr>
        <w:t xml:space="preserve">Оброблення та знезаражування інфікованого матеріалу, лабораторного </w:t>
      </w:r>
      <w:r w:rsidRPr="00E37C23">
        <w:rPr>
          <w:rFonts w:ascii="SchoolBookCTT" w:hAnsi="SchoolBookCTT"/>
          <w:sz w:val="24"/>
          <w:szCs w:val="24"/>
          <w:lang w:val="uk-UA"/>
        </w:rPr>
        <w:t>обладнання і посуду.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3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Оформлення направлення до лабораторії.</w:t>
      </w:r>
    </w:p>
    <w:p w:rsidR="00A93A73" w:rsidRPr="00E37C23" w:rsidRDefault="00A93A73" w:rsidP="00A93A73">
      <w:pPr>
        <w:numPr>
          <w:ilvl w:val="0"/>
          <w:numId w:val="1"/>
        </w:numPr>
        <w:shd w:val="clear" w:color="auto" w:fill="FFFFFF"/>
        <w:suppressAutoHyphens/>
        <w:ind w:hanging="440"/>
        <w:rPr>
          <w:rFonts w:ascii="SchoolBookCTT" w:hAnsi="SchoolBookCTT"/>
          <w:spacing w:val="-15"/>
          <w:sz w:val="24"/>
          <w:szCs w:val="24"/>
          <w:lang w:val="uk-UA"/>
        </w:rPr>
      </w:pPr>
      <w:r w:rsidRPr="00E37C23">
        <w:rPr>
          <w:rFonts w:ascii="SchoolBookCTT" w:hAnsi="SchoolBookCTT"/>
          <w:spacing w:val="-6"/>
          <w:sz w:val="24"/>
          <w:szCs w:val="24"/>
          <w:lang w:val="uk-UA"/>
        </w:rPr>
        <w:t>Заповнювання обліково-звітної документації.</w:t>
      </w:r>
    </w:p>
    <w:p w:rsidR="00966D8C" w:rsidRDefault="00966D8C">
      <w:bookmarkStart w:id="0" w:name="_GoBack"/>
      <w:bookmarkEnd w:id="0"/>
    </w:p>
    <w:sectPr w:rsidR="00966D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92BD0"/>
    <w:multiLevelType w:val="hybridMultilevel"/>
    <w:tmpl w:val="49EEA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11"/>
    <w:rsid w:val="004A3111"/>
    <w:rsid w:val="00966D8C"/>
    <w:rsid w:val="00A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2016-05-25T08:15:00Z</dcterms:created>
  <dcterms:modified xsi:type="dcterms:W3CDTF">2016-05-25T08:15:00Z</dcterms:modified>
</cp:coreProperties>
</file>