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7F" w:rsidRPr="0047657F" w:rsidRDefault="0047657F" w:rsidP="0047657F">
      <w:pPr>
        <w:widowControl w:val="0"/>
        <w:suppressAutoHyphens/>
        <w:jc w:val="center"/>
        <w:rPr>
          <w:rFonts w:ascii="SchoolBookCTT" w:hAnsi="SchoolBookCTT"/>
          <w:b/>
          <w:bCs/>
          <w:color w:val="244061" w:themeColor="accent1" w:themeShade="80"/>
          <w:sz w:val="32"/>
          <w:szCs w:val="32"/>
        </w:rPr>
      </w:pPr>
      <w:r w:rsidRPr="0047657F">
        <w:rPr>
          <w:rFonts w:ascii="SchoolBookCTT" w:hAnsi="SchoolBookCTT"/>
          <w:b/>
          <w:bCs/>
          <w:color w:val="244061" w:themeColor="accent1" w:themeShade="80"/>
          <w:sz w:val="32"/>
          <w:szCs w:val="32"/>
        </w:rPr>
        <w:t>ТЕМАТИЧНИЙ ПЛАН</w:t>
      </w:r>
    </w:p>
    <w:p w:rsidR="0047657F" w:rsidRPr="00F930FB" w:rsidRDefault="0047657F" w:rsidP="0047657F">
      <w:pPr>
        <w:widowControl w:val="0"/>
        <w:suppressAutoHyphens/>
        <w:jc w:val="center"/>
        <w:rPr>
          <w:rFonts w:ascii="SchoolBookCTT" w:hAnsi="SchoolBookCTT"/>
          <w:b/>
          <w:bCs/>
          <w:sz w:val="32"/>
          <w:szCs w:val="32"/>
        </w:rPr>
      </w:pPr>
    </w:p>
    <w:tbl>
      <w:tblPr>
        <w:tblW w:w="5588" w:type="pct"/>
        <w:tblInd w:w="-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992"/>
        <w:gridCol w:w="1560"/>
        <w:gridCol w:w="1587"/>
      </w:tblGrid>
      <w:tr w:rsidR="0047657F" w:rsidRPr="0047657F" w:rsidTr="0047657F">
        <w:tc>
          <w:tcPr>
            <w:tcW w:w="567" w:type="dxa"/>
            <w:vMerge w:val="restart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№ з/п</w:t>
            </w:r>
          </w:p>
        </w:tc>
        <w:tc>
          <w:tcPr>
            <w:tcW w:w="4253" w:type="dxa"/>
            <w:vMerge w:val="restart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Тема</w:t>
            </w:r>
          </w:p>
        </w:tc>
        <w:tc>
          <w:tcPr>
            <w:tcW w:w="5698" w:type="dxa"/>
            <w:gridSpan w:val="4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Кількість годин</w:t>
            </w:r>
          </w:p>
        </w:tc>
      </w:tr>
      <w:tr w:rsidR="0047657F" w:rsidRPr="0047657F" w:rsidTr="0047657F">
        <w:tc>
          <w:tcPr>
            <w:tcW w:w="567" w:type="dxa"/>
            <w:vMerge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47657F" w:rsidRPr="0047657F" w:rsidRDefault="0047657F" w:rsidP="009748F2">
            <w:pPr>
              <w:widowControl w:val="0"/>
              <w:suppressAutoHyphens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Загальний обсяг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Лекції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Практичні заняття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4F6228" w:themeColor="accent3" w:themeShade="80"/>
                <w:sz w:val="28"/>
                <w:szCs w:val="28"/>
              </w:rPr>
              <w:t>Самостійна робота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Соціальна медицина та організація охорони здоров’я як наука. Її основні методи та завдання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—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—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Основи медичної статистики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—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Основні показники здоров’я населення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10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Основи організації лікувально-профілактичної допомоги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4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10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Організація медичної експертизи працездатності. Соціальне страхування та соціальне забезпечення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—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Організація санітарно-епідеміологічної служби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—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Економіка охорони здоров’я. Страхова медицина та медичне страхування. Планування, фінансування, наукові основи управління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—</w:t>
            </w:r>
          </w:p>
        </w:tc>
      </w:tr>
      <w:tr w:rsidR="0047657F" w:rsidRPr="0047657F" w:rsidTr="0047657F">
        <w:tc>
          <w:tcPr>
            <w:tcW w:w="56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47657F" w:rsidRPr="0047657F" w:rsidRDefault="0047657F" w:rsidP="0047657F">
            <w:pPr>
              <w:widowControl w:val="0"/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47657F">
              <w:rPr>
                <w:rFonts w:ascii="SchoolBookCTT" w:hAnsi="SchoolBookCTT"/>
                <w:sz w:val="28"/>
                <w:szCs w:val="28"/>
              </w:rPr>
              <w:t>Формування здорового способу життя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3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Cs/>
                <w:sz w:val="28"/>
                <w:szCs w:val="28"/>
              </w:rPr>
            </w:pPr>
            <w:r w:rsidRPr="0047657F">
              <w:rPr>
                <w:rFonts w:ascii="SchoolBookCTT" w:hAnsi="SchoolBookCTT"/>
                <w:bCs/>
                <w:sz w:val="28"/>
                <w:szCs w:val="28"/>
              </w:rPr>
              <w:t>4</w:t>
            </w:r>
          </w:p>
        </w:tc>
      </w:tr>
      <w:tr w:rsidR="0047657F" w:rsidRPr="0047657F" w:rsidTr="0047657F">
        <w:tc>
          <w:tcPr>
            <w:tcW w:w="567" w:type="dxa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right"/>
              <w:rPr>
                <w:rFonts w:ascii="SchoolBookCTT" w:hAnsi="SchoolBookCTT"/>
                <w:b/>
                <w:color w:val="FF000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color w:val="FF0000"/>
                <w:sz w:val="28"/>
                <w:szCs w:val="28"/>
              </w:rPr>
              <w:t>Усього</w:t>
            </w:r>
            <w:r>
              <w:rPr>
                <w:rFonts w:ascii="SchoolBookCTT" w:hAnsi="SchoolBookCTT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  <w:t>54</w:t>
            </w:r>
          </w:p>
        </w:tc>
        <w:tc>
          <w:tcPr>
            <w:tcW w:w="992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87" w:type="dxa"/>
            <w:vAlign w:val="center"/>
          </w:tcPr>
          <w:p w:rsidR="0047657F" w:rsidRPr="0047657F" w:rsidRDefault="0047657F" w:rsidP="009748F2">
            <w:pPr>
              <w:widowControl w:val="0"/>
              <w:suppressAutoHyphens/>
              <w:jc w:val="center"/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</w:pPr>
            <w:r w:rsidRPr="0047657F">
              <w:rPr>
                <w:rFonts w:ascii="SchoolBookCTT" w:hAnsi="SchoolBookCTT"/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</w:tbl>
    <w:p w:rsidR="0047657F" w:rsidRPr="00F930FB" w:rsidRDefault="0047657F" w:rsidP="0047657F">
      <w:pPr>
        <w:widowControl w:val="0"/>
        <w:suppressAutoHyphens/>
        <w:ind w:firstLine="709"/>
        <w:jc w:val="both"/>
        <w:rPr>
          <w:rFonts w:ascii="SchoolBookCTT" w:hAnsi="SchoolBookCTT"/>
          <w:i/>
          <w:iCs/>
        </w:rPr>
      </w:pPr>
    </w:p>
    <w:p w:rsidR="0047657F" w:rsidRPr="0047657F" w:rsidRDefault="0047657F" w:rsidP="0047657F">
      <w:pPr>
        <w:widowControl w:val="0"/>
        <w:suppressAutoHyphens/>
        <w:ind w:firstLine="700"/>
        <w:jc w:val="both"/>
        <w:rPr>
          <w:rFonts w:ascii="SchoolBookCTT" w:hAnsi="SchoolBookCTT"/>
          <w:sz w:val="28"/>
          <w:szCs w:val="28"/>
        </w:rPr>
      </w:pPr>
      <w:r w:rsidRPr="0047657F">
        <w:rPr>
          <w:rFonts w:ascii="SchoolBookCTT" w:hAnsi="SchoolBookCTT"/>
          <w:b/>
          <w:i/>
          <w:sz w:val="28"/>
          <w:szCs w:val="28"/>
        </w:rPr>
        <w:t>Примітка.</w:t>
      </w:r>
      <w:r w:rsidRPr="0047657F">
        <w:rPr>
          <w:rFonts w:ascii="SchoolBookCTT" w:hAnsi="SchoolBookCTT"/>
          <w:sz w:val="28"/>
          <w:szCs w:val="28"/>
        </w:rPr>
        <w:t xml:space="preserve"> Години для самостійної роботи студентів розподіляють за темами предметні (циклові) методичні комісії навчальних закладів.</w:t>
      </w:r>
      <w:bookmarkStart w:id="0" w:name="_GoBack"/>
      <w:bookmarkEnd w:id="0"/>
    </w:p>
    <w:p w:rsidR="00D73C8C" w:rsidRPr="0047657F" w:rsidRDefault="00D73C8C">
      <w:pPr>
        <w:rPr>
          <w:sz w:val="28"/>
          <w:szCs w:val="28"/>
        </w:rPr>
      </w:pPr>
    </w:p>
    <w:sectPr w:rsidR="00D73C8C" w:rsidRPr="0047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86"/>
    <w:rsid w:val="00091E86"/>
    <w:rsid w:val="0047657F"/>
    <w:rsid w:val="005C234D"/>
    <w:rsid w:val="00D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1A6A-863D-49A9-91EF-0D31838F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2016-10-06T05:47:00Z</dcterms:created>
  <dcterms:modified xsi:type="dcterms:W3CDTF">2016-10-06T05:50:00Z</dcterms:modified>
</cp:coreProperties>
</file>