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CA0" w:rsidRPr="0031678C" w:rsidRDefault="008A0CA0" w:rsidP="008A0CA0">
      <w:pPr>
        <w:shd w:val="clear" w:color="auto" w:fill="FFFFFF"/>
        <w:ind w:firstLine="709"/>
        <w:jc w:val="center"/>
        <w:rPr>
          <w:rFonts w:ascii="Century" w:hAnsi="Century"/>
          <w:caps/>
          <w:sz w:val="32"/>
          <w:lang w:val="uk-UA"/>
        </w:rPr>
      </w:pPr>
      <w:r w:rsidRPr="0031678C">
        <w:rPr>
          <w:rFonts w:ascii="Century" w:hAnsi="Century"/>
          <w:b/>
          <w:caps/>
          <w:color w:val="000000"/>
          <w:sz w:val="32"/>
        </w:rPr>
        <w:t>Перелік питань до диференційованого заліку</w:t>
      </w:r>
    </w:p>
    <w:p w:rsidR="008A0CA0" w:rsidRPr="0031678C" w:rsidRDefault="008A0CA0" w:rsidP="008A0CA0">
      <w:pPr>
        <w:pStyle w:val="a3"/>
        <w:spacing w:after="0" w:line="240" w:lineRule="auto"/>
        <w:jc w:val="both"/>
        <w:rPr>
          <w:rFonts w:ascii="Century" w:hAnsi="Century"/>
          <w:sz w:val="28"/>
          <w:lang w:val="uk-UA"/>
        </w:rPr>
      </w:pP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Причини пожеж і займань в приміщеннях лікувально-профілактичних установ.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Організаційні заходи по забезпеченню пожежної безпеки ЛПУ. Протипожежний режим території.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Організація безпеки людей на випадок пожежі в лікувально-оздоровчих установах. Обов’язки працівників на випадок пожежі та їх дії.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 xml:space="preserve">Середовище проживання людини: навколишнє, виробниче, побутове. 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Взаємодія людини з середовищем проживання, природні й антропогенні, небезпечні й шкідливі фактори навколишнього середовища.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Джерела забруднення, небезпечні й шкідливі фактори навколишнього середовища.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Виробниче середовище. Шляхи негативної дії виробничого середовища.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Роль і завдання медичних працівників в забезпеченні безпеки життєдіяльності людини.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Класифікація шкідливих та небезпечних факторів виробничого середовища.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Методи і засоби оцінки мікрокліматичних умов праці.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Засоби індивідуального захисту робітників. Класифікація.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Причини виникнення і класифікація надзвичайних ситуацій.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Виробничі аварії та катастрофи, стихійні лиха. Основні поняття.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 xml:space="preserve">Основні </w:t>
      </w:r>
      <w:proofErr w:type="spellStart"/>
      <w:r w:rsidRPr="0031678C">
        <w:rPr>
          <w:rFonts w:ascii="Century" w:hAnsi="Century"/>
        </w:rPr>
        <w:t>уражаючі</w:t>
      </w:r>
      <w:proofErr w:type="spellEnd"/>
      <w:r w:rsidRPr="0031678C">
        <w:rPr>
          <w:rFonts w:ascii="Century" w:hAnsi="Century"/>
        </w:rPr>
        <w:t xml:space="preserve"> фактори, їхні параметри.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 xml:space="preserve">Наслідки впливу на людей </w:t>
      </w:r>
      <w:proofErr w:type="spellStart"/>
      <w:r w:rsidRPr="0031678C">
        <w:rPr>
          <w:rFonts w:ascii="Century" w:hAnsi="Century"/>
        </w:rPr>
        <w:t>уражаючих</w:t>
      </w:r>
      <w:proofErr w:type="spellEnd"/>
      <w:r w:rsidRPr="0031678C">
        <w:rPr>
          <w:rFonts w:ascii="Century" w:hAnsi="Century"/>
        </w:rPr>
        <w:t xml:space="preserve"> факторів.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Особливості радіоактивного забруднення місцевості і зараження повітря при аваріях на АЕС.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Оцінка обстановки у надзвичайних ситуаціях. Методика оцінки.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Основні принципи та засоби захисту населення в умовах надзвичайних ситуацій.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Ліквідація наслідків надзвичайних ситуацій, проведення рятувальних робіт.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Стихійні лиха, їх медико-тактична характеристика.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Поведінка людей у надзвичайних ситуаціях і екстрена медична допомога при психоемоційних розладах.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lastRenderedPageBreak/>
        <w:t>Організація медичного забезпечення під час евакуації населення з районів катастроф і стихійного лиха.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Організація і засоби першої медичної допомоги населенню, що постраждало у надзвичайних ситуаціях.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Організаційні основи надання кваліфікаційної допомоги в умовах НС 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Порядок використання сил і засобів МСЦО.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Організація медичного розподілу постраждалих.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Евакуація постраждалих у лікувальні установи.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Організація акушерсько-гінекологічної допомоги в умовах надзвичайних ситуацій.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Санітарно-протиепідемічний режим роботи в кабінетах, пологовій залі, оглядовій.</w:t>
      </w:r>
    </w:p>
    <w:p w:rsidR="008A0CA0" w:rsidRPr="0031678C" w:rsidRDefault="008A0CA0" w:rsidP="008A0CA0">
      <w:pPr>
        <w:pStyle w:val="a4"/>
        <w:numPr>
          <w:ilvl w:val="0"/>
          <w:numId w:val="1"/>
        </w:numPr>
        <w:ind w:left="785"/>
        <w:rPr>
          <w:rFonts w:ascii="Century" w:hAnsi="Century"/>
        </w:rPr>
      </w:pPr>
      <w:r w:rsidRPr="0031678C">
        <w:rPr>
          <w:rFonts w:ascii="Century" w:hAnsi="Century"/>
        </w:rPr>
        <w:t>Особливості організації екстреної медичної допомоги дітям та підліткам.</w:t>
      </w:r>
    </w:p>
    <w:p w:rsidR="008A0CA0" w:rsidRPr="0031678C" w:rsidRDefault="008A0CA0" w:rsidP="00276180">
      <w:pPr>
        <w:pStyle w:val="a4"/>
        <w:numPr>
          <w:ilvl w:val="0"/>
          <w:numId w:val="1"/>
        </w:numPr>
        <w:ind w:left="785" w:firstLine="425"/>
        <w:rPr>
          <w:rFonts w:ascii="Century" w:hAnsi="Century"/>
        </w:rPr>
      </w:pPr>
      <w:r w:rsidRPr="00791922">
        <w:rPr>
          <w:rFonts w:ascii="Century" w:hAnsi="Century"/>
        </w:rPr>
        <w:t>Надання першої медичної та долікарської допомоги вагітним, породіллям та гінекологічним хворим.</w:t>
      </w:r>
      <w:bookmarkStart w:id="0" w:name="_GoBack"/>
      <w:bookmarkEnd w:id="0"/>
    </w:p>
    <w:sectPr w:rsidR="008A0CA0" w:rsidRPr="00316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C49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0CA0"/>
    <w:rsid w:val="00791922"/>
    <w:rsid w:val="008772ED"/>
    <w:rsid w:val="008A0CA0"/>
    <w:rsid w:val="0099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C7B10-DE8D-471C-A199-4904A1DF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CA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4">
    <w:name w:val="Мой стиль"/>
    <w:basedOn w:val="a"/>
    <w:rsid w:val="008A0CA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4</cp:revision>
  <dcterms:created xsi:type="dcterms:W3CDTF">2017-10-24T10:38:00Z</dcterms:created>
  <dcterms:modified xsi:type="dcterms:W3CDTF">2017-10-25T08:19:00Z</dcterms:modified>
</cp:coreProperties>
</file>