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DF" w:rsidRPr="00D21E24" w:rsidRDefault="00EE0ADF" w:rsidP="00EE0ADF">
      <w:pPr>
        <w:shd w:val="clear" w:color="auto" w:fill="FFFFFF"/>
        <w:suppressAutoHyphens/>
        <w:jc w:val="center"/>
        <w:rPr>
          <w:rFonts w:ascii="SchoolBookCTT" w:hAnsi="SchoolBookCTT"/>
          <w:b/>
          <w:sz w:val="32"/>
          <w:szCs w:val="32"/>
          <w:lang w:val="en-US"/>
        </w:rPr>
      </w:pPr>
      <w:r w:rsidRPr="00D21E24">
        <w:rPr>
          <w:rFonts w:ascii="SchoolBookCTT" w:hAnsi="SchoolBookCTT"/>
          <w:b/>
          <w:sz w:val="32"/>
          <w:szCs w:val="32"/>
          <w:lang w:val="uk-UA"/>
        </w:rPr>
        <w:t>ЗАВДАННЯ ДЛЯ САМОСТІЙНОЇ РОБОТИ</w:t>
      </w:r>
    </w:p>
    <w:p w:rsidR="00EE0ADF" w:rsidRPr="00D21E24" w:rsidRDefault="00EE0ADF" w:rsidP="00EE0ADF">
      <w:pPr>
        <w:shd w:val="clear" w:color="auto" w:fill="FFFFFF"/>
        <w:suppressAutoHyphens/>
        <w:jc w:val="center"/>
        <w:rPr>
          <w:rFonts w:ascii="SchoolBookCTT" w:hAnsi="SchoolBookCTT"/>
          <w:sz w:val="16"/>
          <w:szCs w:val="16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622"/>
        <w:gridCol w:w="7318"/>
        <w:gridCol w:w="1471"/>
      </w:tblGrid>
      <w:tr w:rsidR="00EE0ADF" w:rsidRPr="00D21E24" w:rsidTr="0001133E">
        <w:trPr>
          <w:jc w:val="center"/>
        </w:trPr>
        <w:tc>
          <w:tcPr>
            <w:tcW w:w="554" w:type="dxa"/>
            <w:vAlign w:val="center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b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6517" w:type="dxa"/>
            <w:vAlign w:val="center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b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b/>
                <w:sz w:val="18"/>
                <w:szCs w:val="18"/>
                <w:lang w:val="uk-UA"/>
              </w:rPr>
              <w:t>Тема</w:t>
            </w:r>
          </w:p>
        </w:tc>
        <w:tc>
          <w:tcPr>
            <w:tcW w:w="1310" w:type="dxa"/>
            <w:vAlign w:val="center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b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b/>
                <w:sz w:val="18"/>
                <w:szCs w:val="18"/>
                <w:lang w:val="uk-UA"/>
              </w:rPr>
              <w:t>Кількість годин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температурного режиму приміщень.</w:t>
            </w:r>
            <w:r>
              <w:rPr>
                <w:rFonts w:ascii="SchoolBookCTT" w:hAnsi="SchoolBookCTT"/>
                <w:sz w:val="18"/>
                <w:szCs w:val="18"/>
                <w:lang w:val="uk-UA"/>
              </w:rPr>
              <w:t xml:space="preserve"> </w:t>
            </w: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  <w:r>
              <w:rPr>
                <w:rFonts w:ascii="SchoolBookCTT" w:hAnsi="SchoolBookCTT"/>
                <w:sz w:val="18"/>
                <w:szCs w:val="18"/>
                <w:lang w:val="uk-UA"/>
              </w:rPr>
              <w:t xml:space="preserve"> 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Вимірювання вологості повітря.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Вимірювання швидкості руху повітря термоанемометром.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4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Вимірювання інтенсивності ультрафіолетового випромінювання.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5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фізико-хімічних показників ґрунту.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6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ґрунту. Приготування водної витяжки.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7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стічних вод. Складання протоколу відбору води, визначення окиснення.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8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Відбір проб води за допомогою батометра.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9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сухого залишку воду, визначення каламутності.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10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загальної жорсткості води.</w:t>
            </w:r>
            <w:r>
              <w:rPr>
                <w:rFonts w:ascii="SchoolBookCTT" w:hAnsi="SchoolBookCTT"/>
                <w:sz w:val="18"/>
                <w:szCs w:val="18"/>
                <w:lang w:val="uk-UA"/>
              </w:rPr>
              <w:t xml:space="preserve"> </w:t>
            </w: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11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азотовмісних сполук у воді.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12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Кількісне визначення у питній воді хлоридів.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13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робочої дози хлорування (</w:t>
            </w:r>
            <w:proofErr w:type="spellStart"/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хлорпотреби</w:t>
            </w:r>
            <w:proofErr w:type="spellEnd"/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).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14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показників природного і штучного освітлення.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15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Проведення санітарного обстеження житлового приміщення.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16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м’яса. Оцінка показників якості м’яса. Визначення летких жирних кислот.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17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кулінарних виробів з посіченого м’яса. Визначення наповнювача ціанідним методом.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18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фосфоровмісних сполук у м’ясних виробах.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19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 xml:space="preserve">Визначення наповнювача кулінарних виробів </w:t>
            </w:r>
            <w:proofErr w:type="spellStart"/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йодометричним</w:t>
            </w:r>
            <w:proofErr w:type="spellEnd"/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 xml:space="preserve"> методом.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20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риби. Визначення показників свіжості риби.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21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ковбасних виробів. Визначення нітритів колориметричним методом.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22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молока. Визначення фальсифікації молока та достатності термічної обробки.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23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 xml:space="preserve">Дослідження молочнокислих продуктів. Визначення жирності за методом </w:t>
            </w:r>
            <w:proofErr w:type="spellStart"/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Гербера</w:t>
            </w:r>
            <w:proofErr w:type="spellEnd"/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24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рослинних жирів. Визначення коефіцієнта рефракції та кислотного числа.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25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вершкового масла. Визначення вологи і сухої знежиреної речовини.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26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борошна. Визначення фізико-хімічних показників якості борошна.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27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крупи і макаронних виробів. Визначення фізико-хімічних показників якості.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28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хліба. Визначення пористості хліба.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29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вмісту нітритів та нітратів в овочах і фруктах.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30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консервів. Визначення органолептичних і фізико-хімічних показників якості продукту.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31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безалкогольних напоїв. Визначення органолептичних і фізико-хімічних показників якості продукту.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32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Лабораторне дослідження готових страв.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33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Проведення відбору і підготовки проб готових страв до дослідження.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34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 xml:space="preserve">Проведення гігієнічного обстеження підприємств громадського харчування із складанням </w:t>
            </w: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lastRenderedPageBreak/>
              <w:t>акту обстеження.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lastRenderedPageBreak/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lastRenderedPageBreak/>
              <w:t>35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Проведення відбору проб повітря для лабораторного дослідження аспірацій ним методом та складання протоколу відбору проб.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36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Приведення об’єму повітря до стандартних умов.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37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пилу в повітрі гравіметричним методом.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38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Визначення токсичних речовин в повітрі промислових підприємств.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39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Санітарно-гігієнічне обстеження промислового підприємства (вимірювання параметрів мікроклімату, освітленості, забрудненості повітря із складанням акту обстеження).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40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Дослідження полімерних матеріалів та пестицидів. Приготування витяжки мігруючих речовин.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2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41</w:t>
            </w: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Дозиметричний контроль. Вимірювання рівнів радіоактивного забруднення повітря, води, ґрунту, харчових продуктів. Відпрацювання практичних навичок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sz w:val="18"/>
                <w:szCs w:val="18"/>
                <w:lang w:val="uk-UA"/>
              </w:rPr>
              <w:t>3</w:t>
            </w:r>
          </w:p>
        </w:tc>
      </w:tr>
      <w:tr w:rsidR="00EE0ADF" w:rsidRPr="00D21E24" w:rsidTr="0001133E">
        <w:trPr>
          <w:jc w:val="center"/>
        </w:trPr>
        <w:tc>
          <w:tcPr>
            <w:tcW w:w="554" w:type="dxa"/>
          </w:tcPr>
          <w:p w:rsidR="00EE0ADF" w:rsidRPr="00D21E24" w:rsidRDefault="00EE0ADF" w:rsidP="0001133E">
            <w:pPr>
              <w:suppressAutoHyphens/>
              <w:rPr>
                <w:rFonts w:ascii="SchoolBookCTT" w:hAnsi="SchoolBookCTT"/>
                <w:sz w:val="18"/>
                <w:szCs w:val="18"/>
                <w:lang w:val="uk-UA"/>
              </w:rPr>
            </w:pPr>
          </w:p>
        </w:tc>
        <w:tc>
          <w:tcPr>
            <w:tcW w:w="6517" w:type="dxa"/>
          </w:tcPr>
          <w:p w:rsidR="00EE0ADF" w:rsidRPr="00D21E24" w:rsidRDefault="00EE0ADF" w:rsidP="0001133E">
            <w:pPr>
              <w:suppressAutoHyphens/>
              <w:jc w:val="right"/>
              <w:rPr>
                <w:rFonts w:ascii="SchoolBookCTT" w:hAnsi="SchoolBookCTT"/>
                <w:b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1310" w:type="dxa"/>
          </w:tcPr>
          <w:p w:rsidR="00EE0ADF" w:rsidRPr="00D21E24" w:rsidRDefault="00EE0ADF" w:rsidP="0001133E">
            <w:pPr>
              <w:suppressAutoHyphens/>
              <w:jc w:val="center"/>
              <w:rPr>
                <w:rFonts w:ascii="SchoolBookCTT" w:hAnsi="SchoolBookCTT"/>
                <w:b/>
                <w:sz w:val="18"/>
                <w:szCs w:val="18"/>
                <w:lang w:val="uk-UA"/>
              </w:rPr>
            </w:pPr>
            <w:r w:rsidRPr="00D21E24">
              <w:rPr>
                <w:rFonts w:ascii="SchoolBookCTT" w:hAnsi="SchoolBookCTT"/>
                <w:b/>
                <w:sz w:val="18"/>
                <w:szCs w:val="18"/>
                <w:lang w:val="uk-UA"/>
              </w:rPr>
              <w:t>111</w:t>
            </w:r>
          </w:p>
        </w:tc>
      </w:tr>
    </w:tbl>
    <w:p w:rsidR="00EE0ADF" w:rsidRPr="00D21E24" w:rsidRDefault="00EE0ADF" w:rsidP="00EE0ADF">
      <w:pPr>
        <w:shd w:val="clear" w:color="auto" w:fill="FFFFFF"/>
        <w:suppressAutoHyphens/>
        <w:rPr>
          <w:rFonts w:ascii="SchoolBookCTT" w:hAnsi="SchoolBookCTT"/>
          <w:sz w:val="28"/>
          <w:szCs w:val="28"/>
          <w:lang w:val="uk-UA"/>
        </w:rPr>
      </w:pPr>
    </w:p>
    <w:p w:rsidR="00E161A9" w:rsidRDefault="00EE0ADF" w:rsidP="00EE0ADF">
      <w:r w:rsidRPr="00D21E24">
        <w:rPr>
          <w:rFonts w:ascii="SchoolBookCTT" w:hAnsi="SchoolBookCTT"/>
          <w:b/>
          <w:sz w:val="28"/>
          <w:szCs w:val="28"/>
          <w:lang w:val="uk-UA"/>
        </w:rPr>
        <w:br w:type="page"/>
      </w:r>
    </w:p>
    <w:sectPr w:rsidR="00E161A9" w:rsidSect="00E1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E0ADF"/>
    <w:rsid w:val="00E161A9"/>
    <w:rsid w:val="00EE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2017-09-14T05:30:00Z</dcterms:created>
  <dcterms:modified xsi:type="dcterms:W3CDTF">2017-09-14T05:30:00Z</dcterms:modified>
</cp:coreProperties>
</file>