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74" w:rsidRPr="00E37C23" w:rsidRDefault="00632274" w:rsidP="00632274">
      <w:pPr>
        <w:shd w:val="clear" w:color="auto" w:fill="FFFFFF"/>
        <w:suppressAutoHyphens/>
        <w:ind w:right="1"/>
        <w:jc w:val="center"/>
        <w:rPr>
          <w:rFonts w:ascii="SchoolBookCTT" w:hAnsi="SchoolBookCTT"/>
          <w:b/>
          <w:spacing w:val="-14"/>
          <w:sz w:val="32"/>
          <w:szCs w:val="28"/>
          <w:lang w:val="uk-UA"/>
        </w:rPr>
      </w:pPr>
      <w:r w:rsidRPr="00E37C23">
        <w:rPr>
          <w:rFonts w:ascii="SchoolBookCTT" w:hAnsi="SchoolBookCTT"/>
          <w:b/>
          <w:spacing w:val="-10"/>
          <w:sz w:val="32"/>
          <w:szCs w:val="28"/>
          <w:lang w:val="uk-UA"/>
        </w:rPr>
        <w:t xml:space="preserve">ПЕРЕЛІК ПИТАНЬ ДО </w:t>
      </w:r>
      <w:r w:rsidRPr="00E37C23">
        <w:rPr>
          <w:rFonts w:ascii="SchoolBookCTT" w:hAnsi="SchoolBookCTT"/>
          <w:b/>
          <w:spacing w:val="-14"/>
          <w:sz w:val="32"/>
          <w:szCs w:val="28"/>
          <w:lang w:val="uk-UA"/>
        </w:rPr>
        <w:t>ДИФЕРЕНЦІЙОВАНОГО ЗАЛІКУ</w:t>
      </w:r>
    </w:p>
    <w:p w:rsidR="00632274" w:rsidRPr="00E37C23" w:rsidRDefault="00632274" w:rsidP="00632274">
      <w:pPr>
        <w:shd w:val="clear" w:color="auto" w:fill="FFFFFF"/>
        <w:suppressAutoHyphens/>
        <w:ind w:right="1382"/>
        <w:rPr>
          <w:rFonts w:ascii="SchoolBookCTT" w:hAnsi="SchoolBookCTT"/>
          <w:sz w:val="28"/>
          <w:szCs w:val="28"/>
          <w:lang w:val="uk-UA"/>
        </w:rPr>
      </w:pP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Форми співвідношення організмів. Паразитизм як екологічне явище.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>Класифікація паразитів.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>Взаємовідносини паразита і хазяїна.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6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>Життєві цикли паразитів.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10"/>
          <w:sz w:val="24"/>
          <w:szCs w:val="24"/>
          <w:lang w:val="uk-UA"/>
        </w:rPr>
      </w:pPr>
      <w:r w:rsidRPr="00E37C23">
        <w:rPr>
          <w:rFonts w:ascii="SchoolBookCTT" w:hAnsi="SchoolBookCTT"/>
          <w:sz w:val="24"/>
          <w:szCs w:val="24"/>
          <w:lang w:val="uk-UA"/>
        </w:rPr>
        <w:t xml:space="preserve">Основні, проміжні і додаткові живителі. Поняття про </w:t>
      </w:r>
      <w:proofErr w:type="spellStart"/>
      <w:r w:rsidRPr="00E37C23">
        <w:rPr>
          <w:rFonts w:ascii="SchoolBookCTT" w:hAnsi="SchoolBookCTT"/>
          <w:sz w:val="24"/>
          <w:szCs w:val="24"/>
          <w:lang w:val="uk-UA"/>
        </w:rPr>
        <w:t>біо</w:t>
      </w:r>
      <w:proofErr w:type="spellEnd"/>
      <w:r w:rsidRPr="00E37C23">
        <w:rPr>
          <w:rFonts w:ascii="SchoolBookCTT" w:hAnsi="SchoolBookCTT"/>
          <w:sz w:val="24"/>
          <w:szCs w:val="24"/>
          <w:lang w:val="uk-UA"/>
        </w:rPr>
        <w:t>- та геогельмінти.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13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>Трансмісивні і природно-вогнищеві хвороби.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13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Поширення паразитів.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13"/>
          <w:sz w:val="24"/>
          <w:szCs w:val="24"/>
          <w:lang w:val="uk-UA"/>
        </w:rPr>
      </w:pPr>
      <w:r w:rsidRPr="00E37C23">
        <w:rPr>
          <w:rFonts w:ascii="SchoolBookCTT" w:hAnsi="SchoolBookCTT"/>
          <w:spacing w:val="-2"/>
          <w:sz w:val="24"/>
          <w:szCs w:val="24"/>
          <w:lang w:val="uk-UA"/>
        </w:rPr>
        <w:t xml:space="preserve">Характерні особливості морфології типу </w:t>
      </w:r>
      <w:proofErr w:type="spellStart"/>
      <w:r w:rsidRPr="00E37C23">
        <w:rPr>
          <w:rFonts w:ascii="SchoolBookCTT" w:hAnsi="SchoolBookCTT"/>
          <w:spacing w:val="-2"/>
          <w:sz w:val="24"/>
          <w:szCs w:val="24"/>
          <w:lang w:val="uk-UA"/>
        </w:rPr>
        <w:t>саркомастигофора</w:t>
      </w:r>
      <w:proofErr w:type="spellEnd"/>
      <w:r w:rsidRPr="00E37C23">
        <w:rPr>
          <w:rFonts w:ascii="SchoolBookCTT" w:hAnsi="SchoolBookCTT"/>
          <w:spacing w:val="-2"/>
          <w:sz w:val="24"/>
          <w:szCs w:val="24"/>
          <w:lang w:val="uk-UA"/>
        </w:rPr>
        <w:t xml:space="preserve">, його </w:t>
      </w:r>
      <w:r w:rsidRPr="00E37C23">
        <w:rPr>
          <w:rFonts w:ascii="SchoolBookCTT" w:hAnsi="SchoolBookCTT"/>
          <w:sz w:val="24"/>
          <w:szCs w:val="24"/>
          <w:lang w:val="uk-UA"/>
        </w:rPr>
        <w:t>медичне значення.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11"/>
          <w:sz w:val="24"/>
          <w:szCs w:val="24"/>
          <w:lang w:val="uk-UA"/>
        </w:rPr>
      </w:pPr>
      <w:r w:rsidRPr="00E37C23">
        <w:rPr>
          <w:rFonts w:ascii="SchoolBookCTT" w:hAnsi="SchoolBookCTT"/>
          <w:spacing w:val="-2"/>
          <w:sz w:val="24"/>
          <w:szCs w:val="24"/>
          <w:lang w:val="uk-UA"/>
        </w:rPr>
        <w:t xml:space="preserve">Дизентерійна амеба, особливості будови великої і малої </w:t>
      </w:r>
      <w:r w:rsidRPr="00E37C23">
        <w:rPr>
          <w:rFonts w:ascii="SchoolBookCTT" w:hAnsi="SchoolBookCTT"/>
          <w:sz w:val="24"/>
          <w:szCs w:val="24"/>
          <w:lang w:val="uk-UA"/>
        </w:rPr>
        <w:t>вегетативних форм та цист. Цикл розвитку.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hanging="454"/>
        <w:jc w:val="both"/>
        <w:rPr>
          <w:rFonts w:ascii="SchoolBookCTT" w:hAnsi="SchoolBookCTT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>Симптоми амебіазу, шляхи зараження і профілактика.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hanging="454"/>
        <w:jc w:val="both"/>
        <w:rPr>
          <w:rFonts w:ascii="SchoolBookCTT" w:hAnsi="SchoolBookCTT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>Методи лабораторного дослідження дизентерійної амеби.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hanging="454"/>
        <w:jc w:val="both"/>
        <w:rPr>
          <w:rFonts w:ascii="SchoolBookCTT" w:hAnsi="SchoolBookCTT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>Непатогенні амеби, їх відмінність від дизентерійної.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ind w:hanging="454"/>
        <w:jc w:val="both"/>
        <w:rPr>
          <w:rFonts w:ascii="SchoolBookCTT" w:hAnsi="SchoolBookCTT"/>
          <w:sz w:val="24"/>
          <w:szCs w:val="24"/>
          <w:lang w:val="uk-UA"/>
        </w:rPr>
      </w:pPr>
      <w:r w:rsidRPr="00E37C23">
        <w:rPr>
          <w:rFonts w:ascii="SchoolBookCTT" w:hAnsi="SchoolBookCTT"/>
          <w:spacing w:val="-3"/>
          <w:sz w:val="24"/>
          <w:szCs w:val="24"/>
          <w:lang w:val="uk-UA"/>
        </w:rPr>
        <w:t xml:space="preserve">Особливості будови і розвитку патогенних джгутикових: </w:t>
      </w:r>
      <w:r w:rsidRPr="00E37C23">
        <w:rPr>
          <w:rFonts w:ascii="SchoolBookCTT" w:hAnsi="SchoolBookCTT"/>
          <w:sz w:val="24"/>
          <w:szCs w:val="24"/>
          <w:lang w:val="uk-UA"/>
        </w:rPr>
        <w:t xml:space="preserve">трипаносом, </w:t>
      </w:r>
      <w:proofErr w:type="spellStart"/>
      <w:r w:rsidRPr="00E37C23">
        <w:rPr>
          <w:rFonts w:ascii="SchoolBookCTT" w:hAnsi="SchoolBookCTT"/>
          <w:sz w:val="24"/>
          <w:szCs w:val="24"/>
          <w:lang w:val="uk-UA"/>
        </w:rPr>
        <w:t>лейшманій</w:t>
      </w:r>
      <w:proofErr w:type="spellEnd"/>
      <w:r w:rsidRPr="00E37C23">
        <w:rPr>
          <w:rFonts w:ascii="SchoolBookCTT" w:hAnsi="SchoolBookCTT"/>
          <w:sz w:val="24"/>
          <w:szCs w:val="24"/>
          <w:lang w:val="uk-UA"/>
        </w:rPr>
        <w:t xml:space="preserve">, </w:t>
      </w:r>
      <w:proofErr w:type="spellStart"/>
      <w:r w:rsidRPr="00E37C23">
        <w:rPr>
          <w:rFonts w:ascii="SchoolBookCTT" w:hAnsi="SchoolBookCTT"/>
          <w:sz w:val="24"/>
          <w:szCs w:val="24"/>
          <w:lang w:val="uk-UA"/>
        </w:rPr>
        <w:t>трихомонад</w:t>
      </w:r>
      <w:proofErr w:type="spellEnd"/>
      <w:r w:rsidRPr="00E37C23">
        <w:rPr>
          <w:rFonts w:ascii="SchoolBookCTT" w:hAnsi="SchoolBookCTT"/>
          <w:sz w:val="24"/>
          <w:szCs w:val="24"/>
          <w:lang w:val="uk-UA"/>
        </w:rPr>
        <w:t>, лямблій.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Хвороби, спричинені патогенними джгутиковими, шляхи </w:t>
      </w:r>
      <w:r w:rsidRPr="00E37C23">
        <w:rPr>
          <w:rFonts w:ascii="SchoolBookCTT" w:hAnsi="SchoolBookCTT"/>
          <w:sz w:val="24"/>
          <w:szCs w:val="24"/>
          <w:lang w:val="uk-UA"/>
        </w:rPr>
        <w:t>зараження і профілактика.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Методи лабораторного дослідження патогенних джгутикових.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Особливості будови і розвитку споровиків.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Види малярійних плазмодіїв.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Клінічні прояви малярії. Її форми.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Методи лабораторного дослідження малярійного плазмодія.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Особливості морфології, розвиток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токсоплазм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, шляхи зараження.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Клінічні прояви токсоплазмозу, його профілактика. Лабораторне дослідження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токсоплазм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Особливості будови і розвитку інфузорій.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Морфологія, цикл розвитку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балантидія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Клінічні прояви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балантидіозу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Принципи лабораторного дослідження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балантидія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 кишкового.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Мікроскопія мікропрепаратів патогенних найпростіших з подальшим визначенням їх видової належності.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Загальна характеристика типу Плоскі черви.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Морфофункціональні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 особливості, цикл розвитку основних представників класу сисуни: печінкового, сибірського, легеневого, ланцетоподібного, китайського сисунів та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шистосом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Лабораторне дослідження різних видів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трематод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Мікроскопія препаратів суміші яєць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трематод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, визначення видової приналежності.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Характеристики типу стьожкові черви.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10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Особливості будови, цикли розвитку ціп’яків: бичачого,</w:t>
      </w:r>
      <w:r w:rsidRPr="00E37C23">
        <w:rPr>
          <w:rFonts w:ascii="SchoolBookCTT" w:hAnsi="SchoolBookCTT"/>
          <w:spacing w:val="-2"/>
          <w:sz w:val="24"/>
          <w:szCs w:val="24"/>
          <w:lang w:val="uk-UA"/>
        </w:rPr>
        <w:t xml:space="preserve"> </w:t>
      </w:r>
      <w:r w:rsidRPr="00E37C23">
        <w:rPr>
          <w:rFonts w:ascii="SchoolBookCTT" w:hAnsi="SchoolBookCTT"/>
          <w:spacing w:val="-5"/>
          <w:sz w:val="24"/>
          <w:szCs w:val="24"/>
          <w:lang w:val="uk-UA"/>
        </w:rPr>
        <w:t xml:space="preserve">карликового, свинячого, ехінокока, </w:t>
      </w:r>
      <w:proofErr w:type="spellStart"/>
      <w:r w:rsidRPr="00E37C23">
        <w:rPr>
          <w:rFonts w:ascii="SchoolBookCTT" w:hAnsi="SchoolBookCTT"/>
          <w:spacing w:val="-5"/>
          <w:sz w:val="24"/>
          <w:szCs w:val="24"/>
          <w:lang w:val="uk-UA"/>
        </w:rPr>
        <w:t>альвеокока</w:t>
      </w:r>
      <w:proofErr w:type="spellEnd"/>
      <w:r w:rsidRPr="00E37C23">
        <w:rPr>
          <w:rFonts w:ascii="SchoolBookCTT" w:hAnsi="SchoolBookCTT"/>
          <w:spacing w:val="-5"/>
          <w:sz w:val="24"/>
          <w:szCs w:val="24"/>
          <w:lang w:val="uk-UA"/>
        </w:rPr>
        <w:t xml:space="preserve">, широкого </w:t>
      </w:r>
      <w:proofErr w:type="spellStart"/>
      <w:r w:rsidRPr="00E37C23">
        <w:rPr>
          <w:rFonts w:ascii="SchoolBookCTT" w:hAnsi="SchoolBookCTT"/>
          <w:spacing w:val="-5"/>
          <w:sz w:val="24"/>
          <w:szCs w:val="24"/>
          <w:lang w:val="uk-UA"/>
        </w:rPr>
        <w:t>стьожака</w:t>
      </w:r>
      <w:proofErr w:type="spellEnd"/>
      <w:r w:rsidRPr="00E37C23">
        <w:rPr>
          <w:rFonts w:ascii="SchoolBookCTT" w:hAnsi="SchoolBookCTT"/>
          <w:spacing w:val="-5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Патогенний вплив ціп’яків на організм людини та спричинені ними захворювання.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Методи лабораторної діагностики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цестодозів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Будова і розвиток нематод.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Особливості будови окремих представників нематод: аскариди, гостриків, волосоголовців,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анкілостом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, кишкової вугриці,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трихінели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Лабораторна діагностика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нематодозів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Шляхи зараження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нематодозами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 і профілактика.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Загальна характеристика типу членистоногих, їх медичне значення.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Класифікація членистоногих.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Трансмісивні хвороби. Вчення Є.М. Павловського про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природновогнищеві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 і трансмісивні хвороби.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Особливості будови, медичне значення отруйних павуків, скорпіонів. Захист від отруйних павукоподібних.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lastRenderedPageBreak/>
        <w:t>Акариформні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 кліщі — шкідники продуктів харчування і збудники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хвороб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 людини.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Коростяний кліщ,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залозниця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вугриста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, їх розвиток, будова. Лабораторна діагностика корости, демодекозу.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Іксодові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 кліщі — переносники </w:t>
      </w:r>
      <w:proofErr w:type="spellStart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хвороб</w:t>
      </w:r>
      <w:proofErr w:type="spellEnd"/>
      <w:r w:rsidRPr="00E37C23">
        <w:rPr>
          <w:rFonts w:ascii="SchoolBookCTT" w:hAnsi="SchoolBookCTT"/>
          <w:spacing w:val="-4"/>
          <w:sz w:val="24"/>
          <w:szCs w:val="24"/>
          <w:lang w:val="uk-UA"/>
        </w:rPr>
        <w:t>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Характерні особливості розвитку комах.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Воші, блохи, комарі, мухи, їх медичне значення.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Диференціація малярійних і немалярійних комарів.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Заходи боротьби з комахами — збудниками і переносниками захворювань людини.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Видатні вчені-паразитологи.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Правила техніки безпеки, охорони праці в галузі, професійна безпека, протиепідемічний режим при роботі з інфікованим матеріалом.</w:t>
      </w:r>
    </w:p>
    <w:p w:rsidR="00632274" w:rsidRPr="00E37C23" w:rsidRDefault="00632274" w:rsidP="00632274">
      <w:pPr>
        <w:numPr>
          <w:ilvl w:val="0"/>
          <w:numId w:val="1"/>
        </w:numPr>
        <w:shd w:val="clear" w:color="auto" w:fill="FFFFFF"/>
        <w:suppressAutoHyphens/>
        <w:ind w:hanging="454"/>
        <w:jc w:val="both"/>
        <w:rPr>
          <w:rFonts w:ascii="SchoolBookCTT" w:hAnsi="SchoolBookCTT"/>
          <w:spacing w:val="-4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>Чинні накази МОЗ України та обласного управління охорони здоров’я.</w:t>
      </w:r>
    </w:p>
    <w:p w:rsidR="00966D8C" w:rsidRPr="00632274" w:rsidRDefault="00966D8C">
      <w:pPr>
        <w:rPr>
          <w:lang w:val="uk-UA"/>
        </w:rPr>
      </w:pPr>
      <w:bookmarkStart w:id="0" w:name="_GoBack"/>
      <w:bookmarkEnd w:id="0"/>
    </w:p>
    <w:sectPr w:rsidR="00966D8C" w:rsidRPr="006322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2BED"/>
    <w:multiLevelType w:val="hybridMultilevel"/>
    <w:tmpl w:val="D4A683EE"/>
    <w:lvl w:ilvl="0" w:tplc="C04A4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65"/>
    <w:rsid w:val="00632274"/>
    <w:rsid w:val="00884A65"/>
    <w:rsid w:val="009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2085</Words>
  <Characters>1189</Characters>
  <Application>Microsoft Office Word</Application>
  <DocSecurity>0</DocSecurity>
  <Lines>9</Lines>
  <Paragraphs>6</Paragraphs>
  <ScaleCrop>false</ScaleCrop>
  <Company>SPecialiST RePack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2016-05-25T08:17:00Z</dcterms:created>
  <dcterms:modified xsi:type="dcterms:W3CDTF">2016-05-25T08:17:00Z</dcterms:modified>
</cp:coreProperties>
</file>